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People such as Jethro and Melchizedek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rtl w:val="0"/>
          <w:lang w:val="en-US"/>
        </w:rPr>
        <w:t>not Hebrews, but nevertheless worshipers of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true God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rtl w:val="0"/>
          <w:lang w:val="en-US"/>
        </w:rPr>
        <w:t>play an important role in the Old Testament. They remind us of God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commitment to the world. God chose one nation through whom to work, but his love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concern are for all nations!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Jethro</w:t>
      </w:r>
      <w:r>
        <w:rPr>
          <w:rFonts w:ascii="Times New Roman" w:hAnsi="Times New Roman" w:hint="default"/>
          <w:sz w:val="24"/>
          <w:szCs w:val="24"/>
          <w:rtl w:val="0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religious background prepared him for, </w:t>
      </w:r>
      <w:r>
        <w:rPr>
          <w:rFonts w:ascii="Times New Roman" w:hAnsi="Times New Roman"/>
          <w:sz w:val="24"/>
          <w:szCs w:val="24"/>
          <w:rtl w:val="0"/>
          <w:lang w:val="en-US"/>
        </w:rPr>
        <w:t>rather than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prevented him from,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responding in faith to God. When he saw and heard what God had done for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Israelites</w:t>
      </w:r>
      <w:r>
        <w:rPr>
          <w:rFonts w:ascii="Times New Roman" w:hAnsi="Times New Roman"/>
          <w:sz w:val="24"/>
          <w:szCs w:val="24"/>
          <w:rtl w:val="0"/>
          <w:lang w:val="en-US"/>
        </w:rPr>
        <w:t>, he worshiped God wholeheartedly. We can guess that for 40 years as Moses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father-in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law, Jethro had been watching God at work, molding a leader. Moses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Jethro's relationship must have been close, for Moses readily accepted his father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law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advice. Each benefited from knowing the other. Jethro met God through Moses,and Moses received hospitality, his wife, and wisdom from Jethro.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greatest gift one person can give another is an introduction to God. But that gift is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hindered if the believer's attitude is,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 have the greatest gift to pass on to you, while you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have nothing to give me in return." Real friends give to and receive from each other.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importance of introducing a friend to God does not make the friend's gifts to us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insignificant. Rather, the believer is doubly blessed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>first by receiving the gifts the friend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wishes to give; then by growing in knowledge of the Lord. For we discover that in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introducing another person to God, we increase our own awareness of God.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s all you know about God a miscellaneous collection of trivia, or do you have a living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relationship with him? Only with a vital relationship can you pass on to others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excitement of allowing God to guide your life.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Strengths and accomplishments: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As father-in-law to Moses, he came to recognize the one true God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He was a practical troubleshooter and organizer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Lessons from his life: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Supervision and administration are team efforts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</w:rPr>
        <w:t xml:space="preserve"> God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plan includes all nations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Vital statistics: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Where: The land of Midian and the Sinai Desert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Occupation: Shepherd, priest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Relatives: Daughter: Zipporah. Son-in-law: Moses. Son: Hobab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Key verse: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And Jethro rejoiced for all the goodness which the Lord had done to Israel, whom 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had delivered out of the hand of the Egyptians" (Exodus 18:9)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Jethro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story is told in Exodus 2:15*3:1; 18:1-27. He is also mentioned in Judges</w:t>
      </w:r>
    </w:p>
    <w:p>
      <w:pPr>
        <w:pStyle w:val="Body"/>
        <w:jc w:val="both"/>
      </w:pPr>
      <w:r>
        <w:rPr>
          <w:rFonts w:ascii="Times New Roman" w:hAnsi="Times New Roman"/>
          <w:sz w:val="24"/>
          <w:szCs w:val="24"/>
          <w:rtl w:val="0"/>
          <w:lang w:val="ru-RU"/>
        </w:rPr>
        <w:t>1:16; 4:11.</w:t>
      </w:r>
    </w:p>
    <w:sectPr>
      <w:headerReference w:type="default" r:id="rId4"/>
      <w:footerReference w:type="default" r:id="rId5"/>
      <w:pgSz w:w="12240" w:h="15840" w:orient="portrait"/>
      <w:pgMar w:top="1080" w:right="1440" w:bottom="72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Times New Roman" w:hAnsi="Times New Roman"/>
        <w:b w:val="1"/>
        <w:bCs w:val="1"/>
        <w:sz w:val="28"/>
        <w:szCs w:val="28"/>
        <w:u w:val="single"/>
        <w:rtl w:val="0"/>
        <w:lang w:val="en-US"/>
      </w:rPr>
      <w:t>Jethro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